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b/>
          <w:b/>
          <w:bCs/>
        </w:rPr>
      </w:pPr>
      <w:bookmarkStart w:id="0" w:name="OLE_LINK2"/>
      <w:r>
        <w:rPr>
          <w:rFonts w:ascii="Times New Roman" w:hAnsi="Times New Roman"/>
          <w:b/>
          <w:bCs/>
          <w:lang w:val="ru-RU"/>
        </w:rPr>
        <w:t xml:space="preserve">Руководство пользователя </w:t>
      </w:r>
      <w:r>
        <w:rPr>
          <w:rFonts w:ascii="Times New Roman" w:hAnsi="Times New Roman"/>
          <w:b/>
          <w:bCs/>
          <w:lang w:val="en-US"/>
        </w:rPr>
        <w:t>LR</w:t>
      </w:r>
      <w:r>
        <w:rPr>
          <w:rFonts w:ascii="Times New Roman" w:hAnsi="Times New Roman"/>
          <w:b/>
          <w:bCs/>
          <w:lang w:val="ru-RU"/>
        </w:rPr>
        <w:t>40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 устройстве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166" w:right="0" w:hanging="1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Многофункциональный походный фонарь с перезаряжаемым аккумулятором и USB-C портом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166" w:right="0" w:hanging="1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 источника света и 1 специальный режим с выходной мощностью до 100 люмен и плавным регулированием яркости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166" w:right="0" w:hanging="1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Встроенный литий-ионный аккумулятор емкостью в 4000 мАч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166" w:right="0" w:hanging="1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Встроенная интеллектуальная схема зарядки и разрядки литий-ионного аккумулятора, которая также может использоваться в качестве источника питания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166" w:right="0" w:hanging="1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Входной порт USB-C и выходной порт USB-A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166" w:right="0" w:hanging="1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Дужка, расположенная сверху, идеально подходит для использования фонаря в различных условиях</w:t>
      </w:r>
      <w:r>
        <w:rPr/>
        <w:drawing>
          <wp:inline distT="0" distB="0" distL="0" distR="0">
            <wp:extent cx="6645910" cy="3556000"/>
            <wp:effectExtent l="0" t="0" r="0" b="0"/>
            <wp:docPr id="1" name="officeArt object" descr="https://sun9-east.userapi.com/sun9-34/s/v1/ig2/MUBIT5Bp-6hsTxBx_RFeuLR53LZgkhpGbyGlyrFRxcR7Ojg_ze6ef-Lood1XzIHw9jeII5Xj0NMrp6XeHZoJIZBx.jpg?size=1280x685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https://sun9-east.userapi.com/sun9-34/s/v1/ig2/MUBIT5Bp-6hsTxBx_RFeuLR53LZgkhpGbyGlyrFRxcR7Ojg_ze6ef-Lood1XzIHw9jeII5Xj0NMrp6XeHZoJIZBx.jpg?size=1280x685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Характеристики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Размеры: 117 мм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lang w:val="ru-RU"/>
        </w:rPr>
        <w:t xml:space="preserve"> 96 мм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lang w:val="ru-RU"/>
        </w:rPr>
        <w:t xml:space="preserve"> 96 мм (4.61"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lang w:val="ru-RU"/>
        </w:rPr>
        <w:t xml:space="preserve"> 3.78"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lang w:val="ru-RU"/>
        </w:rPr>
        <w:t xml:space="preserve"> 3.78") (без учета дужки)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Вес: 222 г (7.83 унции) (без учета комплектующих)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Комплектующие: зарядный кабель </w:t>
      </w:r>
      <w:r>
        <w:rPr>
          <w:rFonts w:ascii="Times New Roman" w:hAnsi="Times New Roman"/>
          <w:lang w:val="en-US"/>
        </w:rPr>
        <w:t>USB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en-US"/>
        </w:rPr>
        <w:t>C</w:t>
      </w:r>
    </w:p>
    <w:p>
      <w:pPr>
        <w:pStyle w:val="Normal"/>
        <w:rPr>
          <w:rFonts w:ascii="Times New Roman" w:hAnsi="Times New Roman" w:eastAsia="Times New Roman" w:cs="Times New Roman"/>
          <w:shd w:fill="FFFF00" w:val="clear"/>
          <w:lang w:val="ru-RU"/>
        </w:rPr>
      </w:pPr>
      <w:r>
        <w:rPr>
          <w:rFonts w:eastAsia="Times New Roman" w:cs="Times New Roman" w:ascii="Times New Roman" w:hAnsi="Times New Roman"/>
          <w:shd w:fill="FFFF00" w:val="clear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Технические характеристики</w:t>
      </w:r>
    </w:p>
    <w:tbl>
      <w:tblPr>
        <w:tblW w:w="1046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45"/>
        <w:gridCol w:w="1109"/>
        <w:gridCol w:w="1168"/>
        <w:gridCol w:w="1107"/>
        <w:gridCol w:w="1169"/>
        <w:gridCol w:w="1171"/>
        <w:gridCol w:w="1245"/>
        <w:gridCol w:w="1944"/>
      </w:tblGrid>
      <w:tr>
        <w:trPr>
          <w:trHeight w:val="441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Режим освещения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Теплое освещение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Белое освещение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 xml:space="preserve">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Теплое белое освещение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Красное освещение (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>SOS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)</w:t>
            </w:r>
          </w:p>
        </w:tc>
      </w:tr>
      <w:tr>
        <w:trPr>
          <w:trHeight w:val="221" w:hRule="atLeast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Яркость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Минимум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Максимум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Минимум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Максимум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Минимум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Максимум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/</w:t>
            </w:r>
          </w:p>
        </w:tc>
      </w:tr>
      <w:tr>
        <w:trPr>
          <w:trHeight w:val="232" w:hRule="atLeast"/>
        </w:trPr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 xml:space="preserve">15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люмен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80 люмен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15 люмен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50 люмен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10 люмен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100 люмен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10 люмен</w:t>
            </w:r>
          </w:p>
        </w:tc>
      </w:tr>
      <w:tr>
        <w:trPr>
          <w:trHeight w:val="221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Время работы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45 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15 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38 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10 ч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65 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8 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/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eastAsia="Times New Roman"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Примечание: </w:t>
      </w:r>
      <w:r>
        <w:rPr>
          <w:rFonts w:ascii="Times New Roman" w:hAnsi="Times New Roman"/>
          <w:lang w:val="ru-RU"/>
        </w:rPr>
        <w:t>приведенные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данные получены при использовании встроенного литий-ионного аккумулятора (4000 мАч, 3,7 В) в лабораторных условиях. Поэтому при эксплуатации данные могут отличаться от приведенных вследствие использования аккумулятора иного типа, а также отличных условий окружающей среды.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Функция зарядки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lang w:val="ru-RU"/>
        </w:rPr>
        <w:t>Подключение к внешнему источнику питания:</w:t>
      </w:r>
      <w:r>
        <w:rPr>
          <w:rFonts w:ascii="Times New Roman" w:hAnsi="Times New Roman"/>
          <w:lang w:val="ru-RU"/>
        </w:rPr>
        <w:t xml:space="preserve"> используйте </w:t>
      </w:r>
      <w:r>
        <w:rPr>
          <w:rFonts w:ascii="Times New Roman" w:hAnsi="Times New Roman"/>
          <w:lang w:val="en-US"/>
        </w:rPr>
        <w:t>USB</w:t>
      </w:r>
      <w:r>
        <w:rPr>
          <w:rFonts w:ascii="Times New Roman" w:hAnsi="Times New Roman"/>
          <w:lang w:val="ru-RU"/>
        </w:rPr>
        <w:t xml:space="preserve">-кабель для подключения устройства к </w:t>
      </w:r>
      <w:r>
        <w:rPr>
          <w:rFonts w:ascii="Times New Roman" w:hAnsi="Times New Roman"/>
          <w:lang w:val="en-US"/>
        </w:rPr>
        <w:t>USB</w:t>
      </w:r>
      <w:r>
        <w:rPr>
          <w:rFonts w:ascii="Times New Roman" w:hAnsi="Times New Roman"/>
          <w:lang w:val="ru-RU"/>
        </w:rPr>
        <w:t xml:space="preserve">-адаптеру / блоку питания / любому другому зарядному устройству с </w:t>
      </w:r>
      <w:r>
        <w:rPr>
          <w:rFonts w:ascii="Times New Roman" w:hAnsi="Times New Roman"/>
          <w:lang w:val="en-US"/>
        </w:rPr>
        <w:t>USB</w:t>
      </w:r>
      <w:r>
        <w:rPr>
          <w:rFonts w:ascii="Times New Roman" w:hAnsi="Times New Roman"/>
          <w:lang w:val="ru-RU"/>
        </w:rPr>
        <w:t xml:space="preserve">-портом (выход блока питания: 5 В </w:t>
      </w: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lang w:val="ru-RU"/>
        </w:rPr>
        <w:t>⎓</w:t>
      </w:r>
      <w:r>
        <w:rPr>
          <w:rFonts w:ascii="Times New Roman" w:hAnsi="Times New Roman"/>
          <w:lang w:val="ru-RU"/>
        </w:rPr>
        <w:t xml:space="preserve"> 1 А), чтобы начался заряд. Время зарядки составляет около 4 часов.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Сообщение уровня заряда:</w:t>
      </w:r>
      <w:r>
        <w:rPr>
          <w:rFonts w:ascii="Times New Roman" w:hAnsi="Times New Roman"/>
          <w:lang w:val="ru-RU"/>
        </w:rPr>
        <w:t xml:space="preserve"> во время зарядки синие индикаторы будут медленно мигать, сообщая таким образом пользователю уровень заряда. Когда аккумулятор будет полностью заряжен, синие индикаторы начнут беспрерывно гореть. (Функция освещения доступна во время зарядки.)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eastAsia="Times New Roman"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Инструкция по эксплуатации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Включение / выключение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Включение: </w:t>
      </w:r>
      <w:r>
        <w:rPr>
          <w:rFonts w:ascii="Times New Roman" w:hAnsi="Times New Roman"/>
          <w:lang w:val="ru-RU"/>
        </w:rPr>
        <w:t>когда фонарь выключен, зажмите и удерживайте переключатель в течение 2 секунд, чтобы включить теплое освещение.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Выключение: </w:t>
      </w:r>
      <w:r>
        <w:rPr>
          <w:rFonts w:ascii="Times New Roman" w:hAnsi="Times New Roman"/>
          <w:lang w:val="ru-RU"/>
        </w:rPr>
        <w:t>когда фонарь включен, зажмите и удерживайте переключатель в течение 2 секунд, чтобы выключить его.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eastAsia="Times New Roman"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Переключение между источниками света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При включенном фонаре кратковременно нажимайте на переключатель, чтобы переключаться между следующими источниками света: теплое освещение — белое освещение — теплое белое освещение — красное освещение (SOS).</w:t>
      </w:r>
    </w:p>
    <w:p>
      <w:pPr>
        <w:pStyle w:val="Normal"/>
        <w:rPr>
          <w:rFonts w:ascii="Times New Roman" w:hAnsi="Times New Roman" w:eastAsia="Times New Roman" w:cs="Times New Roman"/>
          <w:shd w:fill="FFFF00" w:val="clear"/>
          <w:lang w:val="ru-RU"/>
        </w:rPr>
      </w:pPr>
      <w:r>
        <w:rPr>
          <w:rFonts w:eastAsia="Times New Roman" w:cs="Times New Roman" w:ascii="Times New Roman" w:hAnsi="Times New Roman"/>
          <w:shd w:fill="FFFF00" w:val="clear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Регулирование яркости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При включенном фонаре крутите ручку переключателя для плавного регулирования яркости.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eastAsia="Times New Roman"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Зарядка внешнего устройства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Благодаря выходу USB-A фонарь LR40 можно использовать в качестве источника питания для зарядки внешних устройств.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Подключение к внешнему устройству:</w:t>
      </w:r>
      <w:r>
        <w:rPr>
          <w:rFonts w:ascii="Times New Roman" w:hAnsi="Times New Roman"/>
          <w:lang w:val="ru-RU"/>
        </w:rPr>
        <w:t xml:space="preserve"> посредством USB-кабеля подключите внешнее USB-устройство к выходному порту USB-A, чтобы начать зарядку.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Сообщение уровня разряда:</w:t>
      </w:r>
      <w:r>
        <w:rPr>
          <w:rFonts w:ascii="Times New Roman" w:hAnsi="Times New Roman"/>
          <w:lang w:val="ru-RU"/>
        </w:rPr>
        <w:t xml:space="preserve"> в процессе разрядки синие индикаторы начнут беспрерывно гореть. (Выходное напряжение: 5 В; выходной ток: максимум 1 А)</w:t>
      </w:r>
      <w:bookmarkEnd w:id="0"/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  <w:bookmarkStart w:id="1" w:name="OLE_LINK5"/>
      <w:bookmarkStart w:id="2" w:name="OLE_LINK5"/>
      <w:bookmarkEnd w:id="2"/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Определение уровня заряда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При выключенном фонаре кратковременно нажмите на ручку переключателя, и соответствующие индикаторы питания, находящиеся рядом с ним, загорятся, сообщая таким образом уровень заряда аккумулятора.</w:t>
      </w:r>
    </w:p>
    <w:tbl>
      <w:tblPr>
        <w:tblW w:w="56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122"/>
        <w:gridCol w:w="3542"/>
      </w:tblGrid>
      <w:tr>
        <w:trPr>
          <w:trHeight w:val="581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hd w:fill="auto" w:val="clear"/>
                <w:lang w:val="ru-RU"/>
              </w:rPr>
              <w:t>Состояние индикаторов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hd w:fill="auto" w:val="clear"/>
                <w:lang w:val="ru-RU"/>
              </w:rPr>
              <w:t>Уровень заряда</w:t>
            </w:r>
          </w:p>
        </w:tc>
      </w:tr>
      <w:tr>
        <w:trPr>
          <w:trHeight w:val="221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 xml:space="preserve">4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беспрерывно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 xml:space="preserve"> горят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Приблизительно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 xml:space="preserve"> 100%</w:t>
            </w:r>
          </w:p>
        </w:tc>
      </w:tr>
      <w:tr>
        <w:trPr>
          <w:trHeight w:val="221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3 беспре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рывно горят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Приблизительно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 xml:space="preserve"> 75%</w:t>
            </w:r>
          </w:p>
        </w:tc>
      </w:tr>
      <w:tr>
        <w:trPr>
          <w:trHeight w:val="221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2 беспрерывно горят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 xml:space="preserve">Приблизительно 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>50%</w:t>
            </w:r>
          </w:p>
        </w:tc>
      </w:tr>
      <w:tr>
        <w:trPr>
          <w:trHeight w:val="941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en-US"/>
              </w:rPr>
              <w:t>1 беспрерывно гор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и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>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60"/>
              <w:jc w:val="center"/>
              <w:rPr/>
            </w:pPr>
            <w:r>
              <w:rPr>
                <w:rFonts w:ascii="Times New Roman" w:hAnsi="Times New Roman"/>
                <w:shd w:fill="auto" w:val="clear"/>
                <w:lang w:val="ru-RU"/>
              </w:rPr>
              <w:t>Приблизительно 25% (пожалуйста, поставьте устройство на зарядку как можно скорее)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eastAsia="Times New Roman"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Меры предосторожности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ВНИМАНИЕ! Возможно опасное излучение! Не направляйте луч света фонаря в глаза! Иначе это может нанести им серьезный вред</w:t>
      </w:r>
      <w:r>
        <w:rPr>
          <w:rFonts w:ascii="Times New Roman" w:hAnsi="Times New Roman"/>
          <w:lang w:val="en-US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Нагревание устройства во время зарядки и разрядки устройства является нормальным явлением.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погружайте устройство в воду.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держите устройство близко к огню, а также не помещайте его в условия с высокой температурой. 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роняйте, не ударяйте, не бросайте и не трясите устройство, так как это может привести к повреждению внутренних компонентов.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разбирайте устройство и не вносите изменений в его конструкцию самостоятельно, так как это навредит устройству и приведет к аннулированию гарантии. Пожалуйста, обратите внимание на раздел гарантийного обслуживания для получения более подробной информации.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Пожалуйста, не забывайте заряжать устройство каждые 3 месяца, если не планируете им пользоваться длительное время.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20" w:right="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Утилизируйте устройство / аккумуляторы в соответствии с действующим местным законодательством и правилами.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Гарантийное обслуживание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Вся продукция NITECORE® обладает гарантией. При наличии у продукта каких-либо дефектов или брака его можно обменять у местного дистрибьютора в течение 15 дней со дня покупки. После этого неисправную продукцию NITECORE® можно бесплатно починить в течение 24 месяцев со дня покупки. По прошествии 24 месяцев начинает действовать ограниченная гарантия, которая покрывает стоимость работы и обслуживания, но не распространяется на оплату комплектующих и запасных частей.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Гарантия аннулируется, в случае если: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1. продукция была сломана, реконструирована или модифицирована неофициальными лицами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2. продукция была повреждена вследствие неправильного использования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/>
          <w:lang w:val="ru-RU"/>
        </w:rPr>
        <w:t>За последней информацией о продукции и услугах NITECORE®, пожалуйста, обращайтесь к местному дистрибьютору NITECORE® или пишите на почту service@nitecore.com</w:t>
      </w:r>
    </w:p>
    <w:p>
      <w:pPr>
        <w:pStyle w:val="Normal"/>
        <w:rPr/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lang w:val="ru-RU"/>
        </w:rPr>
        <w:t>※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www.nitecore.com, компания Sysmax Innovations Co., Ltd.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sectPr>
      <w:headerReference w:type="default" r:id="rId3"/>
      <w:footerReference w:type="default" r:id="rId4"/>
      <w:type w:val="nextPage"/>
      <w:pgSz w:w="11906" w:h="16838"/>
      <w:pgMar w:left="720" w:right="720" w:gutter="0" w:header="851" w:top="908" w:footer="992" w:bottom="1049"/>
      <w:pgNumType w:fmt="decimal"/>
      <w:formProt w:val="false"/>
      <w:textDirection w:val="lrTb"/>
      <w:docGrid w:type="default" w:linePitch="10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Arial Unicode MS">
    <w:charset w:val="cc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66" w:hanging="16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66" w:hanging="16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6" w:hanging="16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6" w:hanging="16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66" w:hanging="16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66" w:hanging="16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66" w:hanging="16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366" w:hanging="16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966" w:hanging="16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等线" w:hAnsi="等线" w:eastAsia="等线" w:cs="等线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Верхн./нижн. кол.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4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firstLine="420"/>
      <w:jc w:val="both"/>
    </w:pPr>
    <w:rPr>
      <w:rFonts w:ascii="等线" w:hAnsi="等线" w:eastAsia="等线" w:cs="等线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qFormat/>
  </w:style>
  <w:style w:type="numbering" w:styleId="Style24">
    <w:name w:val="Пункты"/>
    <w:qFormat/>
  </w:style>
  <w:style w:type="numbering" w:styleId="2">
    <w:name w:val="Импортированный стиль 2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4</Pages>
  <Words>752</Words>
  <Characters>4941</Characters>
  <CharactersWithSpaces>5600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